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D7" w:rsidRDefault="001A53D7" w:rsidP="001A53D7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proofErr w:type="spellStart"/>
      <w:r>
        <w:rPr>
          <w:rFonts w:ascii="DINPro" w:hAnsi="DINPro" w:cs="DINPro"/>
          <w:sz w:val="18"/>
          <w:szCs w:val="18"/>
        </w:rPr>
        <w:t>Назирова</w:t>
      </w:r>
      <w:proofErr w:type="spellEnd"/>
      <w:r>
        <w:rPr>
          <w:rFonts w:ascii="DINPro" w:hAnsi="DINPro" w:cs="DINPro"/>
          <w:sz w:val="18"/>
          <w:szCs w:val="18"/>
        </w:rPr>
        <w:t xml:space="preserve"> В. Б., Гулиев Ф. А</w:t>
      </w:r>
      <w:r>
        <w:rPr>
          <w:rFonts w:ascii="DINPro" w:hAnsi="DINPro" w:cs="DINPro"/>
          <w:sz w:val="18"/>
          <w:szCs w:val="18"/>
        </w:rPr>
        <w:t xml:space="preserve">., </w:t>
      </w:r>
      <w:r>
        <w:rPr>
          <w:rFonts w:ascii="DINPro" w:hAnsi="DINPro" w:cs="DINPro"/>
          <w:sz w:val="18"/>
          <w:szCs w:val="18"/>
        </w:rPr>
        <w:t xml:space="preserve">Гафаров И. А. Идентификация </w:t>
      </w:r>
      <w:proofErr w:type="spellStart"/>
      <w:r>
        <w:rPr>
          <w:rFonts w:ascii="DINPro" w:hAnsi="DINPro" w:cs="DINPro"/>
          <w:sz w:val="18"/>
          <w:szCs w:val="18"/>
        </w:rPr>
        <w:t>однонуклеотидных</w:t>
      </w:r>
      <w:proofErr w:type="spellEnd"/>
      <w:r>
        <w:rPr>
          <w:rFonts w:ascii="DINPro" w:hAnsi="DINPro" w:cs="DINPro"/>
          <w:sz w:val="18"/>
          <w:szCs w:val="18"/>
        </w:rPr>
        <w:t xml:space="preserve"> полиморфизмов гена </w:t>
      </w:r>
      <w:proofErr w:type="spellStart"/>
      <w:r>
        <w:rPr>
          <w:rFonts w:ascii="DINPro" w:hAnsi="DINPro" w:cs="DINPro"/>
          <w:sz w:val="18"/>
          <w:szCs w:val="18"/>
        </w:rPr>
        <w:t>интегрина</w:t>
      </w:r>
      <w:proofErr w:type="spellEnd"/>
      <w:r>
        <w:rPr>
          <w:rFonts w:ascii="DINPro" w:hAnsi="DINPro" w:cs="DINPro"/>
          <w:sz w:val="18"/>
          <w:szCs w:val="18"/>
        </w:rPr>
        <w:t xml:space="preserve"> ITGA2 и их ассоциация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с тромбоцитами у пациентов с артериальной гипертензией. Международный журнал сердца и сосудистых</w:t>
      </w:r>
      <w:r>
        <w:rPr>
          <w:rFonts w:ascii="DINPro" w:hAnsi="DINPro" w:cs="DINPro"/>
          <w:sz w:val="18"/>
          <w:szCs w:val="18"/>
        </w:rPr>
        <w:t xml:space="preserve"> </w:t>
      </w:r>
      <w:bookmarkStart w:id="0" w:name="_GoBack"/>
      <w:bookmarkEnd w:id="0"/>
      <w:r>
        <w:rPr>
          <w:rFonts w:ascii="DINPro" w:hAnsi="DINPro" w:cs="DINPro"/>
          <w:sz w:val="18"/>
          <w:szCs w:val="18"/>
        </w:rPr>
        <w:t xml:space="preserve">заболеваний. 2022; 10(36):13-20. </w:t>
      </w:r>
      <w:proofErr w:type="spellStart"/>
      <w:r>
        <w:rPr>
          <w:rFonts w:ascii="DINPro" w:hAnsi="DINPro" w:cs="DINPro"/>
          <w:sz w:val="18"/>
          <w:szCs w:val="18"/>
        </w:rPr>
        <w:t>doi</w:t>
      </w:r>
      <w:proofErr w:type="spellEnd"/>
      <w:r>
        <w:rPr>
          <w:rFonts w:ascii="DINPro" w:hAnsi="DINPro" w:cs="DINPro"/>
          <w:sz w:val="18"/>
          <w:szCs w:val="18"/>
        </w:rPr>
        <w:t>: 10.24412/2311-</w:t>
      </w:r>
    </w:p>
    <w:p w:rsidR="00041F04" w:rsidRPr="00EC46D6" w:rsidRDefault="001A53D7" w:rsidP="001A53D7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1623-2022–36-13–20</w:t>
      </w:r>
    </w:p>
    <w:sectPr w:rsidR="00041F04" w:rsidRPr="00EC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D6"/>
    <w:rsid w:val="00041F04"/>
    <w:rsid w:val="001A53D7"/>
    <w:rsid w:val="00E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B9E8D-3B09-46BE-8570-BB9839C5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Елизавета Анатольевна</dc:creator>
  <cp:keywords/>
  <dc:description/>
  <cp:lastModifiedBy>Савчук Елизавета Анатольевна</cp:lastModifiedBy>
  <cp:revision>2</cp:revision>
  <dcterms:created xsi:type="dcterms:W3CDTF">2023-03-02T14:20:00Z</dcterms:created>
  <dcterms:modified xsi:type="dcterms:W3CDTF">2023-03-02T14:20:00Z</dcterms:modified>
</cp:coreProperties>
</file>