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Спектр патологии митрального клапана (МК) при дисплазии соединительной ткани (ДСТ) включает состояния от </w:t>
      </w:r>
      <w:proofErr w:type="spellStart"/>
      <w:r>
        <w:rPr>
          <w:rFonts w:ascii="DINPro" w:hAnsi="DINPro" w:cs="DINPro"/>
          <w:sz w:val="18"/>
          <w:szCs w:val="18"/>
        </w:rPr>
        <w:t>миксоматозной</w:t>
      </w:r>
      <w:proofErr w:type="spellEnd"/>
      <w:r>
        <w:rPr>
          <w:rFonts w:ascii="DINPro" w:hAnsi="DINPro" w:cs="DINPro"/>
          <w:sz w:val="18"/>
          <w:szCs w:val="18"/>
        </w:rPr>
        <w:t xml:space="preserve"> дегенерации, с избытком ткани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створок клапана и </w:t>
      </w:r>
      <w:proofErr w:type="spellStart"/>
      <w:r>
        <w:rPr>
          <w:rFonts w:ascii="DINPro" w:hAnsi="DINPro" w:cs="DINPro"/>
          <w:sz w:val="18"/>
          <w:szCs w:val="18"/>
        </w:rPr>
        <w:t>подклапанного</w:t>
      </w:r>
      <w:proofErr w:type="spellEnd"/>
      <w:r>
        <w:rPr>
          <w:rFonts w:ascii="DINPro" w:hAnsi="DINPro" w:cs="DINPro"/>
          <w:sz w:val="18"/>
          <w:szCs w:val="18"/>
        </w:rPr>
        <w:t xml:space="preserve"> аппарата, </w:t>
      </w:r>
      <w:proofErr w:type="gramStart"/>
      <w:r>
        <w:rPr>
          <w:rFonts w:ascii="DINPro" w:hAnsi="DINPro" w:cs="DINPro"/>
          <w:sz w:val="18"/>
          <w:szCs w:val="18"/>
        </w:rPr>
        <w:t>которая</w:t>
      </w:r>
      <w:proofErr w:type="gramEnd"/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чаще встречается у пациентов молодого возраста, до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фиброэластического дефицита створок МК, диагностируемого в старших возрастных группах. Митральная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недостаточность (МН) при дисплазии относится к категории первичной МН, может прогрессировать и привести к возникновению необходимости оперативного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лечения.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Известно, что хирургическое вмешательство на МК на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фоне ДСТ рекомендуется при </w:t>
      </w:r>
      <w:proofErr w:type="spellStart"/>
      <w:r>
        <w:rPr>
          <w:rFonts w:ascii="DINPro" w:hAnsi="DINPro" w:cs="DINPro"/>
          <w:sz w:val="18"/>
          <w:szCs w:val="18"/>
        </w:rPr>
        <w:t>симптомной</w:t>
      </w:r>
      <w:proofErr w:type="spellEnd"/>
      <w:r>
        <w:rPr>
          <w:rFonts w:ascii="DINPro" w:hAnsi="DINPro" w:cs="DINPro"/>
          <w:sz w:val="18"/>
          <w:szCs w:val="18"/>
        </w:rPr>
        <w:t xml:space="preserve"> </w:t>
      </w:r>
      <w:proofErr w:type="gramStart"/>
      <w:r>
        <w:rPr>
          <w:rFonts w:ascii="DINPro" w:hAnsi="DINPro" w:cs="DINPro"/>
          <w:sz w:val="18"/>
          <w:szCs w:val="18"/>
        </w:rPr>
        <w:t>тяжелой</w:t>
      </w:r>
      <w:proofErr w:type="gramEnd"/>
      <w:r>
        <w:rPr>
          <w:rFonts w:ascii="DINPro" w:hAnsi="DINPro" w:cs="DINPro"/>
          <w:sz w:val="18"/>
          <w:szCs w:val="18"/>
        </w:rPr>
        <w:t xml:space="preserve"> МН.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При </w:t>
      </w:r>
      <w:proofErr w:type="gramStart"/>
      <w:r>
        <w:rPr>
          <w:rFonts w:ascii="DINPro" w:hAnsi="DINPro" w:cs="DINPro"/>
          <w:sz w:val="18"/>
          <w:szCs w:val="18"/>
        </w:rPr>
        <w:t>бессимптомной</w:t>
      </w:r>
      <w:proofErr w:type="gramEnd"/>
      <w:r>
        <w:rPr>
          <w:rFonts w:ascii="DINPro" w:hAnsi="DINPro" w:cs="DINPro"/>
          <w:sz w:val="18"/>
          <w:szCs w:val="18"/>
        </w:rPr>
        <w:t xml:space="preserve"> тяжелой МН с такими патофизиологическими последствиями как левожелудочковая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систолическая дисфункция, легочная гипертензия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фибрилляция предсердий, хирургическое лечение МН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также необходимо. </w:t>
      </w:r>
      <w:proofErr w:type="spellStart"/>
      <w:r>
        <w:rPr>
          <w:rFonts w:ascii="DINPro" w:hAnsi="DINPro" w:cs="DINPro"/>
          <w:sz w:val="18"/>
          <w:szCs w:val="18"/>
        </w:rPr>
        <w:t>Дискутабельным</w:t>
      </w:r>
      <w:proofErr w:type="spellEnd"/>
      <w:r>
        <w:rPr>
          <w:rFonts w:ascii="DINPro" w:hAnsi="DINPro" w:cs="DINPro"/>
          <w:sz w:val="18"/>
          <w:szCs w:val="18"/>
        </w:rPr>
        <w:t xml:space="preserve"> остаётся вопрос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хирургии бессимптомной тяжелой МН без </w:t>
      </w:r>
      <w:proofErr w:type="spellStart"/>
      <w:r>
        <w:rPr>
          <w:rFonts w:ascii="DINPro" w:hAnsi="DINPro" w:cs="DINPro"/>
          <w:sz w:val="18"/>
          <w:szCs w:val="18"/>
        </w:rPr>
        <w:t>вышеуказан</w:t>
      </w:r>
      <w:proofErr w:type="spellEnd"/>
      <w:r>
        <w:rPr>
          <w:rFonts w:ascii="DINPro" w:hAnsi="DINPro" w:cs="DINPro"/>
          <w:sz w:val="18"/>
          <w:szCs w:val="18"/>
        </w:rPr>
        <w:t>-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spellStart"/>
      <w:r>
        <w:rPr>
          <w:rFonts w:ascii="DINPro" w:hAnsi="DINPro" w:cs="DINPro"/>
          <w:sz w:val="18"/>
          <w:szCs w:val="18"/>
        </w:rPr>
        <w:t>ных</w:t>
      </w:r>
      <w:proofErr w:type="spellEnd"/>
      <w:r>
        <w:rPr>
          <w:rFonts w:ascii="DINPro" w:hAnsi="DINPro" w:cs="DINPro"/>
          <w:sz w:val="18"/>
          <w:szCs w:val="18"/>
        </w:rPr>
        <w:t xml:space="preserve"> критериев.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На клиническом примере длительного наблюдения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бессимптомного пациента с </w:t>
      </w:r>
      <w:proofErr w:type="gramStart"/>
      <w:r>
        <w:rPr>
          <w:rFonts w:ascii="DINPro" w:hAnsi="DINPro" w:cs="DINPro"/>
          <w:sz w:val="18"/>
          <w:szCs w:val="18"/>
        </w:rPr>
        <w:t>тяжелой</w:t>
      </w:r>
      <w:proofErr w:type="gramEnd"/>
      <w:r>
        <w:rPr>
          <w:rFonts w:ascii="DINPro" w:hAnsi="DINPro" w:cs="DINPro"/>
          <w:sz w:val="18"/>
          <w:szCs w:val="18"/>
        </w:rPr>
        <w:t xml:space="preserve"> МН авторами рас-</w:t>
      </w:r>
    </w:p>
    <w:p w:rsidR="006D1F5B" w:rsidRDefault="006D1F5B" w:rsidP="006D1F5B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смотрен пошаговый алгоритм действий при тяжелой</w:t>
      </w:r>
      <w:r>
        <w:rPr>
          <w:rFonts w:ascii="DINPro" w:hAnsi="DINPro" w:cs="DINPro"/>
          <w:sz w:val="18"/>
          <w:szCs w:val="18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первичной МН с учетом последних рекомендаций по</w:t>
      </w:r>
    </w:p>
    <w:p w:rsidR="00460543" w:rsidRDefault="006D1F5B" w:rsidP="006D1F5B">
      <w:r>
        <w:rPr>
          <w:rFonts w:ascii="DINPro" w:hAnsi="DINPro" w:cs="DINPro"/>
          <w:sz w:val="18"/>
          <w:szCs w:val="18"/>
        </w:rPr>
        <w:t>клапанным болезням 2021 года.</w:t>
      </w:r>
    </w:p>
    <w:sectPr w:rsidR="0046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B"/>
    <w:rsid w:val="004F7A2A"/>
    <w:rsid w:val="006D1F5B"/>
    <w:rsid w:val="00E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2023-03-03T10:18:00Z</dcterms:created>
  <dcterms:modified xsi:type="dcterms:W3CDTF">2023-03-03T10:19:00Z</dcterms:modified>
</cp:coreProperties>
</file>