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-Bold" w:eastAsia="DINPro-Bold" w:cs="DINPro-Bold"/>
          <w:b/>
          <w:bCs/>
          <w:sz w:val="18"/>
          <w:szCs w:val="18"/>
          <w:lang w:val="en-US"/>
        </w:rPr>
      </w:pPr>
      <w:r w:rsidRPr="00E44431">
        <w:rPr>
          <w:rFonts w:ascii="DINPro-Bold" w:eastAsia="DINPro-Bold" w:cs="DINPro-Bold"/>
          <w:b/>
          <w:bCs/>
          <w:sz w:val="18"/>
          <w:szCs w:val="18"/>
          <w:lang w:val="en-US"/>
        </w:rPr>
        <w:t>Abstract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E44431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Objective.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To assess the dynam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ics of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atherogenic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 lipoproteins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and estrogens during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the management of dyslipidemia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with PCSK-9 inhib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itors in patients with coronary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artery disease (CAD) and various comorbidities.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E44431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Materials and methods.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The study included 114 men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with CAD and very high cardiovascular risk. All patients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were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divided into three groups: group 1 — patients w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ith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CAD (n=39), group 2 — patients with CAD in combination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with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type 2 diabetes mellitus (T2DM) (n=38), group 3 —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patients with CAD in combination with stages IIIA-IIIB of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chronic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kidney disease (CKD)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(n=37). All study participants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were administered with intense treatment with statins +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ezetimibe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>. In case when target le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vels of low-density lipoprotein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cholesterol (LDL–C) were not achieved, </w:t>
      </w:r>
      <w:proofErr w:type="spellStart"/>
      <w:r w:rsidRPr="00E44431">
        <w:rPr>
          <w:rFonts w:ascii="DINPro" w:eastAsia="DINPro-Bold" w:hAnsi="DINPro" w:cs="DINPro"/>
          <w:sz w:val="18"/>
          <w:szCs w:val="18"/>
          <w:lang w:val="en-US"/>
        </w:rPr>
        <w:t>alirocumab</w:t>
      </w:r>
      <w:proofErr w:type="spellEnd"/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was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added to treatment wi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th the control of lipid profile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and estrogens levels for 12 months.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E44431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Results. </w:t>
      </w: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In group 1 97.4 % of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patients (n=38) achieved target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LDL–C level that decreased by 73.9 % from 4.41</w:t>
      </w:r>
      <w:r>
        <w:rPr>
          <w:rFonts w:ascii="DINPro" w:eastAsia="DINPro-Bold" w:hAnsi="DINPro" w:cs="DINPro"/>
          <w:sz w:val="18"/>
          <w:szCs w:val="18"/>
        </w:rPr>
        <w:t>Ѓ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}0.19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mmol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/l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to 1.15</w:t>
      </w:r>
      <w:r>
        <w:rPr>
          <w:rFonts w:ascii="DINPro" w:eastAsia="DINPro-Bold" w:hAnsi="DINPro" w:cs="DINPro"/>
          <w:sz w:val="18"/>
          <w:szCs w:val="18"/>
        </w:rPr>
        <w:t>Ѓ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}0.15 </w:t>
      </w:r>
      <w:proofErr w:type="spellStart"/>
      <w:r w:rsidRPr="00E44431">
        <w:rPr>
          <w:rFonts w:ascii="DINPro" w:eastAsia="DINPro-Bold" w:hAnsi="DINPro" w:cs="DINPro"/>
          <w:sz w:val="18"/>
          <w:szCs w:val="18"/>
          <w:lang w:val="en-US"/>
        </w:rPr>
        <w:t>mmol</w:t>
      </w:r>
      <w:proofErr w:type="spellEnd"/>
      <w:r w:rsidRPr="00E44431">
        <w:rPr>
          <w:rFonts w:ascii="DINPro" w:eastAsia="DINPro-Bold" w:hAnsi="DINPro" w:cs="DINPro"/>
          <w:sz w:val="18"/>
          <w:szCs w:val="18"/>
          <w:lang w:val="en-US"/>
        </w:rPr>
        <w:t>/l (p&lt;0.001)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; in group 2 94.7 % of patients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(n=36) achieved target LDL–C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level that decreased by 74.2 %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from 4.62</w:t>
      </w:r>
      <w:r>
        <w:rPr>
          <w:rFonts w:ascii="DINPro" w:eastAsia="DINPro-Bold" w:hAnsi="DINPro" w:cs="DINPro"/>
          <w:sz w:val="18"/>
          <w:szCs w:val="18"/>
        </w:rPr>
        <w:t>Ѓ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}0.25 </w:t>
      </w:r>
      <w:proofErr w:type="spellStart"/>
      <w:r w:rsidRPr="00E44431">
        <w:rPr>
          <w:rFonts w:ascii="DINPro" w:eastAsia="DINPro-Bold" w:hAnsi="DINPro" w:cs="DINPro"/>
          <w:sz w:val="18"/>
          <w:szCs w:val="18"/>
          <w:lang w:val="en-US"/>
        </w:rPr>
        <w:t>mmol</w:t>
      </w:r>
      <w:proofErr w:type="spellEnd"/>
      <w:r w:rsidRPr="00E44431">
        <w:rPr>
          <w:rFonts w:ascii="DINPro" w:eastAsia="DINPro-Bold" w:hAnsi="DINPro" w:cs="DINPro"/>
          <w:sz w:val="18"/>
          <w:szCs w:val="18"/>
          <w:lang w:val="en-US"/>
        </w:rPr>
        <w:t>/l to 1.19</w:t>
      </w:r>
      <w:r>
        <w:rPr>
          <w:rFonts w:ascii="DINPro" w:eastAsia="DINPro-Bold" w:hAnsi="DINPro" w:cs="DINPro"/>
          <w:sz w:val="18"/>
          <w:szCs w:val="18"/>
        </w:rPr>
        <w:t>Ѓ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}0.12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mmol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/l (p&lt;0.001), in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group 3 91.9 % of patien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ts reached target values (n=34)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and LDL–C decreased by 73.5 % from 4.60</w:t>
      </w:r>
      <w:r>
        <w:rPr>
          <w:rFonts w:ascii="DINPro" w:eastAsia="DINPro-Bold" w:hAnsi="DINPro" w:cs="DINPro"/>
          <w:sz w:val="18"/>
          <w:szCs w:val="18"/>
        </w:rPr>
        <w:t>Ѓ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}0.20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mmol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>/l to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1.22</w:t>
      </w:r>
      <w:r>
        <w:rPr>
          <w:rFonts w:ascii="DINPro" w:eastAsia="DINPro-Bold" w:hAnsi="DINPro" w:cs="DINPro"/>
          <w:sz w:val="18"/>
          <w:szCs w:val="18"/>
        </w:rPr>
        <w:t>Ѓ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} 0.09 </w:t>
      </w:r>
      <w:proofErr w:type="spellStart"/>
      <w:r w:rsidRPr="00E44431">
        <w:rPr>
          <w:rFonts w:ascii="DINPro" w:eastAsia="DINPro-Bold" w:hAnsi="DINPro" w:cs="DINPro"/>
          <w:sz w:val="18"/>
          <w:szCs w:val="18"/>
          <w:lang w:val="en-US"/>
        </w:rPr>
        <w:t>mmol</w:t>
      </w:r>
      <w:proofErr w:type="spellEnd"/>
      <w:r w:rsidRPr="00E44431">
        <w:rPr>
          <w:rFonts w:ascii="DINPro" w:eastAsia="DINPro-Bold" w:hAnsi="DINPro" w:cs="DINPro"/>
          <w:sz w:val="18"/>
          <w:szCs w:val="18"/>
          <w:lang w:val="en-US"/>
        </w:rPr>
        <w:t>/l (p&lt;0.001).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The level of estradiol after 12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months after treatment with </w:t>
      </w:r>
      <w:proofErr w:type="spellStart"/>
      <w:r w:rsidRPr="00E44431">
        <w:rPr>
          <w:rFonts w:ascii="DINPro" w:eastAsia="DINPro-Bold" w:hAnsi="DINPro" w:cs="DINPro"/>
          <w:sz w:val="18"/>
          <w:szCs w:val="18"/>
          <w:lang w:val="en-US"/>
        </w:rPr>
        <w:t>alirocumab</w:t>
      </w:r>
      <w:proofErr w:type="spell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increased by 8.3 %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(p=0.39) </w:t>
      </w: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in group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1, by 7.7 % (p=0.36) —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in group 2, by 8.5 %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(p=0.31) — in group 3.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E44431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Conclusion.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Thus, the use of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PCSK9 inhibitors in combination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with optimal lipid-lowering therapy in patients with</w:t>
      </w:r>
    </w:p>
    <w:p w:rsidR="00E44431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very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 xml:space="preserve"> high cardiovascular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risk showed clear effectiveness </w:t>
      </w:r>
      <w:r w:rsidRPr="00E44431">
        <w:rPr>
          <w:rFonts w:ascii="DINPro" w:eastAsia="DINPro-Bold" w:hAnsi="DINPro" w:cs="DINPro"/>
          <w:sz w:val="18"/>
          <w:szCs w:val="18"/>
          <w:lang w:val="en-US"/>
        </w:rPr>
        <w:t>in patients with CAD without comorbidities. In all study</w:t>
      </w:r>
    </w:p>
    <w:p w:rsidR="00A202FD" w:rsidRPr="00E44431" w:rsidRDefault="00E44431" w:rsidP="00E44431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E44431">
        <w:rPr>
          <w:rFonts w:ascii="DINPro" w:eastAsia="DINPro-Bold" w:hAnsi="DINPro" w:cs="DINPro"/>
          <w:sz w:val="18"/>
          <w:szCs w:val="18"/>
          <w:lang w:val="en-US"/>
        </w:rPr>
        <w:t>groups</w:t>
      </w:r>
      <w:proofErr w:type="gramEnd"/>
      <w:r w:rsidRPr="00E44431">
        <w:rPr>
          <w:rFonts w:ascii="DINPro" w:eastAsia="DINPro-Bold" w:hAnsi="DINPro" w:cs="DINPro"/>
          <w:sz w:val="18"/>
          <w:szCs w:val="18"/>
          <w:lang w:val="en-US"/>
        </w:rPr>
        <w:t>, plasma estradiol leve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l statistically insignificantly </w:t>
      </w:r>
      <w:bookmarkStart w:id="0" w:name="_GoBack"/>
      <w:bookmarkEnd w:id="0"/>
      <w:r w:rsidRPr="00E44431">
        <w:rPr>
          <w:rFonts w:ascii="DINPro" w:eastAsia="DINPro-Bold" w:hAnsi="DINPro" w:cs="DINPro"/>
          <w:sz w:val="18"/>
          <w:szCs w:val="18"/>
          <w:lang w:val="en-US"/>
        </w:rPr>
        <w:t>increased after alirocumab treatment.</w:t>
      </w:r>
    </w:p>
    <w:sectPr w:rsidR="00A202FD" w:rsidRPr="00E4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"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383BCD"/>
    <w:rsid w:val="006A662C"/>
    <w:rsid w:val="00736C96"/>
    <w:rsid w:val="008A5685"/>
    <w:rsid w:val="009E71B8"/>
    <w:rsid w:val="00A202FD"/>
    <w:rsid w:val="00BF11C9"/>
    <w:rsid w:val="00C916AF"/>
    <w:rsid w:val="00E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2022-11-09T08:45:00Z</dcterms:created>
  <dcterms:modified xsi:type="dcterms:W3CDTF">2022-11-09T08:45:00Z</dcterms:modified>
</cp:coreProperties>
</file>